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78DE54AB"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14D43">
        <w:rPr>
          <w:rFonts w:ascii="Arial" w:hAnsi="Arial"/>
          <w:b/>
          <w:sz w:val="24"/>
          <w:szCs w:val="24"/>
        </w:rPr>
        <w:t>3</w:t>
      </w:r>
      <w:r w:rsidRPr="00B64708">
        <w:rPr>
          <w:rFonts w:ascii="Arial" w:hAnsi="Arial"/>
          <w:b/>
          <w:i/>
          <w:noProof/>
          <w:sz w:val="24"/>
          <w:szCs w:val="24"/>
        </w:rPr>
        <w:tab/>
      </w:r>
      <w:r w:rsidRPr="00347FF7">
        <w:rPr>
          <w:rFonts w:ascii="Arial" w:hAnsi="Arial"/>
          <w:b/>
          <w:sz w:val="24"/>
          <w:szCs w:val="24"/>
        </w:rPr>
        <w:t>R4-24</w:t>
      </w:r>
      <w:r w:rsidR="00347FF7" w:rsidRPr="00347FF7">
        <w:rPr>
          <w:rFonts w:ascii="Arial" w:hAnsi="Arial"/>
          <w:b/>
          <w:sz w:val="24"/>
          <w:szCs w:val="24"/>
        </w:rPr>
        <w:t>1</w:t>
      </w:r>
      <w:r w:rsidR="005F71BF">
        <w:rPr>
          <w:rFonts w:ascii="Arial" w:hAnsi="Arial"/>
          <w:b/>
          <w:sz w:val="24"/>
          <w:szCs w:val="24"/>
        </w:rPr>
        <w:t>9533</w:t>
      </w:r>
    </w:p>
    <w:p w14:paraId="5D43EEDF" w14:textId="5CEED7BE" w:rsidR="00BD0D23" w:rsidRPr="00B64708" w:rsidRDefault="00114D43"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ABB24B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C6048">
        <w:rPr>
          <w:rFonts w:ascii="Arial" w:hAnsi="Arial" w:cs="Arial"/>
          <w:sz w:val="24"/>
          <w:szCs w:val="22"/>
        </w:rPr>
        <w:t>7</w:t>
      </w:r>
      <w:r w:rsidR="008425A3">
        <w:rPr>
          <w:rFonts w:ascii="Arial" w:hAnsi="Arial" w:cs="Arial"/>
          <w:sz w:val="24"/>
          <w:szCs w:val="22"/>
        </w:rPr>
        <w:t>.8.2.2.1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C49DD15"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E0585E">
        <w:rPr>
          <w:rFonts w:ascii="Arial" w:hAnsi="Arial" w:cs="Arial"/>
          <w:sz w:val="24"/>
          <w:lang w:val="en-US" w:eastAsia="ja-JP"/>
        </w:rPr>
        <w:t xml:space="preserve">IoT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E0585E">
        <w:rPr>
          <w:rFonts w:ascii="Arial" w:hAnsi="Arial" w:cs="Arial"/>
          <w:sz w:val="24"/>
          <w:lang w:val="en-US" w:eastAsia="ja-JP"/>
        </w:rPr>
        <w:t xml:space="preserve">Tx and Rx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7B0BA1B0" w14:textId="2FB0AB2D" w:rsidR="00ED5A34" w:rsidRDefault="00983807" w:rsidP="00445E27">
      <w:pPr>
        <w:spacing w:after="120"/>
        <w:rPr>
          <w:bCs/>
        </w:rPr>
      </w:pPr>
      <w:r>
        <w:rPr>
          <w:bCs/>
        </w:rPr>
        <w:t xml:space="preserve">For </w:t>
      </w:r>
      <w:r w:rsidR="00C46324">
        <w:rPr>
          <w:bCs/>
        </w:rPr>
        <w:t xml:space="preserve">UE RF architecture, NR TN HPUE conclusions need further consideration. For NR, PC2 is allowed to use dual Tx (tx diversity) implementation, but PC1.5 is specified to always apply dual Tx. For NB-NTN dual Tx operation may not be necessary for high </w:t>
      </w:r>
      <w:r w:rsidR="001B46DC">
        <w:rPr>
          <w:bCs/>
        </w:rPr>
        <w:t>output powers, though it still is one possible option for implementation. For NTN UL-MIMO has not been considered</w:t>
      </w:r>
      <w:r w:rsidR="003B325B">
        <w:rPr>
          <w:bCs/>
        </w:rPr>
        <w:t>, as UL-MIMO typically needs good SNR to give benefits. For NB-IoT and cat M1 UL-MIMO has never been specified</w:t>
      </w:r>
      <w:r w:rsidR="00897CD3">
        <w:rPr>
          <w:bCs/>
        </w:rPr>
        <w:t>.</w:t>
      </w:r>
    </w:p>
    <w:p w14:paraId="7B98651C" w14:textId="572F4407" w:rsidR="006166B1" w:rsidRDefault="00897CD3" w:rsidP="00445E27">
      <w:pPr>
        <w:spacing w:after="120"/>
        <w:rPr>
          <w:bCs/>
        </w:rPr>
      </w:pPr>
      <w:proofErr w:type="gramStart"/>
      <w:r>
        <w:rPr>
          <w:bCs/>
        </w:rPr>
        <w:t>Also</w:t>
      </w:r>
      <w:proofErr w:type="gramEnd"/>
      <w:r>
        <w:rPr>
          <w:bCs/>
        </w:rPr>
        <w:t xml:space="preserve"> the signal characteristics are very different between NR-NTN and NB-NTN</w:t>
      </w:r>
      <w:r w:rsidR="006166B1">
        <w:rPr>
          <w:bCs/>
        </w:rPr>
        <w:t>, as e.g. NB-IoT transmission bandwidth is only up to 180 kHz. T</w:t>
      </w:r>
      <w:r w:rsidR="00B526D7">
        <w:rPr>
          <w:bCs/>
        </w:rPr>
        <w:t xml:space="preserve">his gives opportunities to take advantage of </w:t>
      </w:r>
      <w:proofErr w:type="gramStart"/>
      <w:r w:rsidR="00B526D7">
        <w:rPr>
          <w:bCs/>
        </w:rPr>
        <w:t>high power</w:t>
      </w:r>
      <w:proofErr w:type="gramEnd"/>
      <w:r w:rsidR="00B526D7">
        <w:rPr>
          <w:bCs/>
        </w:rPr>
        <w:t xml:space="preserve"> PAs</w:t>
      </w:r>
      <w:r w:rsidR="0072536F">
        <w:rPr>
          <w:bCs/>
        </w:rPr>
        <w:t xml:space="preserve"> similar to GSM PAs</w:t>
      </w:r>
      <w:r w:rsidR="00B526D7">
        <w:rPr>
          <w:bCs/>
        </w:rPr>
        <w:t>, which can be able to drive high power signal from single Tx.</w:t>
      </w:r>
    </w:p>
    <w:p w14:paraId="1229E6E5" w14:textId="77777777" w:rsidR="00D83679" w:rsidRDefault="000A4782" w:rsidP="00445E27">
      <w:pPr>
        <w:spacing w:after="120"/>
        <w:rPr>
          <w:bCs/>
        </w:rPr>
      </w:pPr>
      <w:r>
        <w:rPr>
          <w:bCs/>
        </w:rPr>
        <w:t xml:space="preserve">Handheld satellite phones which have very high output power exist. For example, </w:t>
      </w:r>
      <w:r w:rsidR="00CE058B">
        <w:rPr>
          <w:bCs/>
        </w:rPr>
        <w:t xml:space="preserve">phones for Iridium system </w:t>
      </w:r>
      <w:r w:rsidR="00E11B6D">
        <w:rPr>
          <w:bCs/>
        </w:rPr>
        <w:t>[6]</w:t>
      </w:r>
      <w:r w:rsidR="002B63F1">
        <w:rPr>
          <w:bCs/>
        </w:rPr>
        <w:t xml:space="preserve">. From the technical specifications it </w:t>
      </w:r>
      <w:proofErr w:type="gramStart"/>
      <w:r w:rsidR="002B63F1">
        <w:rPr>
          <w:bCs/>
        </w:rPr>
        <w:t>an</w:t>
      </w:r>
      <w:proofErr w:type="gramEnd"/>
      <w:r w:rsidR="002B63F1">
        <w:rPr>
          <w:bCs/>
        </w:rPr>
        <w:t xml:space="preserve"> be seen that </w:t>
      </w:r>
      <w:r w:rsidR="002D5E4D">
        <w:rPr>
          <w:bCs/>
        </w:rPr>
        <w:t>this handheld device can provice 4 hours of talk time</w:t>
      </w:r>
      <w:r w:rsidR="00AA116D">
        <w:rPr>
          <w:bCs/>
        </w:rPr>
        <w:t xml:space="preserve">, while the EU type examination certification </w:t>
      </w:r>
      <w:r w:rsidR="00527B65">
        <w:rPr>
          <w:bCs/>
        </w:rPr>
        <w:t xml:space="preserve">shows 37.7 dBm output power. </w:t>
      </w:r>
    </w:p>
    <w:p w14:paraId="434F873B" w14:textId="77777777" w:rsidR="00D83679" w:rsidRDefault="00D83679" w:rsidP="00445E27">
      <w:pPr>
        <w:spacing w:after="120"/>
        <w:rPr>
          <w:bCs/>
        </w:rPr>
      </w:pPr>
    </w:p>
    <w:p w14:paraId="1FAB63BA" w14:textId="113BA9C8" w:rsidR="009D4B82" w:rsidRDefault="009D4B82" w:rsidP="00445E27">
      <w:pPr>
        <w:spacing w:after="120"/>
        <w:rPr>
          <w:noProof/>
        </w:rPr>
      </w:pPr>
      <w:r>
        <w:rPr>
          <w:bCs/>
          <w:noProof/>
        </w:rPr>
        <mc:AlternateContent>
          <mc:Choice Requires="wpi">
            <w:drawing>
              <wp:anchor distT="0" distB="0" distL="114300" distR="114300" simplePos="0" relativeHeight="251658243" behindDoc="0" locked="0" layoutInCell="1" allowOverlap="1" wp14:anchorId="38ED1734" wp14:editId="79EDDE15">
                <wp:simplePos x="0" y="0"/>
                <wp:positionH relativeFrom="column">
                  <wp:posOffset>1000441</wp:posOffset>
                </wp:positionH>
                <wp:positionV relativeFrom="paragraph">
                  <wp:posOffset>440509</wp:posOffset>
                </wp:positionV>
                <wp:extent cx="306720" cy="20160"/>
                <wp:effectExtent l="95250" t="152400" r="93345" b="151765"/>
                <wp:wrapNone/>
                <wp:docPr id="1914572696" name="Ink 4"/>
                <wp:cNvGraphicFramePr/>
                <a:graphic xmlns:a="http://schemas.openxmlformats.org/drawingml/2006/main">
                  <a:graphicData uri="http://schemas.microsoft.com/office/word/2010/wordprocessingInk">
                    <w14:contentPart bwMode="auto" r:id="rId7">
                      <w14:nvContentPartPr>
                        <w14:cNvContentPartPr/>
                      </w14:nvContentPartPr>
                      <w14:xfrm>
                        <a:off x="0" y="0"/>
                        <a:ext cx="306720" cy="20160"/>
                      </w14:xfrm>
                    </w14:contentPart>
                  </a:graphicData>
                </a:graphic>
              </wp:anchor>
            </w:drawing>
          </mc:Choice>
          <mc:Fallback>
            <w:pict>
              <v:shapetype w14:anchorId="1FF6E12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74.5pt;margin-top:26.2pt;width:32.65pt;height:1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">
                <v:imagedata r:id="rId8" o:title=""/>
              </v:shape>
            </w:pict>
          </mc:Fallback>
        </mc:AlternateContent>
      </w:r>
      <w:r>
        <w:rPr>
          <w:bCs/>
          <w:noProof/>
        </w:rPr>
        <mc:AlternateContent>
          <mc:Choice Requires="wpi">
            <w:drawing>
              <wp:anchor distT="0" distB="0" distL="114300" distR="114300" simplePos="0" relativeHeight="251658242" behindDoc="0" locked="0" layoutInCell="1" allowOverlap="1" wp14:anchorId="14FFEDE4" wp14:editId="7B74153F">
                <wp:simplePos x="0" y="0"/>
                <wp:positionH relativeFrom="column">
                  <wp:posOffset>1238761</wp:posOffset>
                </wp:positionH>
                <wp:positionV relativeFrom="paragraph">
                  <wp:posOffset>461389</wp:posOffset>
                </wp:positionV>
                <wp:extent cx="300240" cy="29880"/>
                <wp:effectExtent l="95250" t="152400" r="100330" b="160655"/>
                <wp:wrapNone/>
                <wp:docPr id="1561122145" name="Ink 3"/>
                <wp:cNvGraphicFramePr/>
                <a:graphic xmlns:a="http://schemas.openxmlformats.org/drawingml/2006/main">
                  <a:graphicData uri="http://schemas.microsoft.com/office/word/2010/wordprocessingInk">
                    <w14:contentPart bwMode="auto" r:id="rId9">
                      <w14:nvContentPartPr>
                        <w14:cNvContentPartPr/>
                      </w14:nvContentPartPr>
                      <w14:xfrm>
                        <a:off x="0" y="0"/>
                        <a:ext cx="300240" cy="29880"/>
                      </w14:xfrm>
                    </w14:contentPart>
                  </a:graphicData>
                </a:graphic>
              </wp:anchor>
            </w:drawing>
          </mc:Choice>
          <mc:Fallback>
            <w:pict>
              <v:shape w14:anchorId="2FC34591" id="Ink 3" o:spid="_x0000_s1026" type="#_x0000_t75" style="position:absolute;margin-left:93.3pt;margin-top:27.85pt;width:32.15pt;height:19.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">
                <v:imagedata r:id="rId10" o:title=""/>
              </v:shape>
            </w:pict>
          </mc:Fallback>
        </mc:AlternateContent>
      </w:r>
      <w:r>
        <w:rPr>
          <w:bCs/>
          <w:noProof/>
        </w:rPr>
        <mc:AlternateContent>
          <mc:Choice Requires="wpi">
            <w:drawing>
              <wp:anchor distT="0" distB="0" distL="114300" distR="114300" simplePos="0" relativeHeight="251658240" behindDoc="0" locked="0" layoutInCell="1" allowOverlap="1" wp14:anchorId="72CBA14D" wp14:editId="6E31488C">
                <wp:simplePos x="0" y="0"/>
                <wp:positionH relativeFrom="column">
                  <wp:posOffset>4898161</wp:posOffset>
                </wp:positionH>
                <wp:positionV relativeFrom="paragraph">
                  <wp:posOffset>1695743</wp:posOffset>
                </wp:positionV>
                <wp:extent cx="420840" cy="28800"/>
                <wp:effectExtent l="95250" t="152400" r="93980" b="161925"/>
                <wp:wrapNone/>
                <wp:docPr id="1261200687"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420840" cy="28800"/>
                      </w14:xfrm>
                    </w14:contentPart>
                  </a:graphicData>
                </a:graphic>
              </wp:anchor>
            </w:drawing>
          </mc:Choice>
          <mc:Fallback>
            <w:pict>
              <v:shape w14:anchorId="5D0A02AB" id="Ink 1" o:spid="_x0000_s1026" type="#_x0000_t75" style="position:absolute;margin-left:381.5pt;margin-top:125pt;width:41.65pt;height:19.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">
                <v:imagedata r:id="rId12" o:title=""/>
              </v:shape>
            </w:pict>
          </mc:Fallback>
        </mc:AlternateContent>
      </w:r>
      <w:r w:rsidR="00712C66" w:rsidRPr="00712C66">
        <w:rPr>
          <w:bCs/>
          <w:noProof/>
        </w:rPr>
        <w:drawing>
          <wp:inline distT="0" distB="0" distL="0" distR="0" wp14:anchorId="0B37A1F6" wp14:editId="75C6CB6D">
            <wp:extent cx="774368" cy="1538224"/>
            <wp:effectExtent l="0" t="0" r="6985" b="5080"/>
            <wp:docPr id="762410955" name="Picture 1" descr="A close-up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10955" name="Picture 1" descr="A close-up of a cell phone&#10;&#10;Description automatically generated"/>
                    <pic:cNvPicPr/>
                  </pic:nvPicPr>
                  <pic:blipFill>
                    <a:blip r:embed="rId13"/>
                    <a:stretch>
                      <a:fillRect/>
                    </a:stretch>
                  </pic:blipFill>
                  <pic:spPr>
                    <a:xfrm>
                      <a:off x="0" y="0"/>
                      <a:ext cx="791306" cy="1571869"/>
                    </a:xfrm>
                    <a:prstGeom prst="rect">
                      <a:avLst/>
                    </a:prstGeom>
                  </pic:spPr>
                </pic:pic>
              </a:graphicData>
            </a:graphic>
          </wp:inline>
        </w:drawing>
      </w:r>
      <w:r w:rsidRPr="009D4B82">
        <w:rPr>
          <w:noProof/>
        </w:rPr>
        <w:t xml:space="preserve"> </w:t>
      </w:r>
      <w:r w:rsidRPr="009D4B82">
        <w:rPr>
          <w:bCs/>
          <w:noProof/>
        </w:rPr>
        <w:drawing>
          <wp:inline distT="0" distB="0" distL="0" distR="0" wp14:anchorId="04FAB710" wp14:editId="57412471">
            <wp:extent cx="4646806" cy="1789495"/>
            <wp:effectExtent l="0" t="0" r="1905" b="1270"/>
            <wp:docPr id="154619672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96726" name="Picture 1" descr="A screen shot of a computer&#10;&#10;Description automatically generated"/>
                    <pic:cNvPicPr/>
                  </pic:nvPicPr>
                  <pic:blipFill>
                    <a:blip r:embed="rId14"/>
                    <a:stretch>
                      <a:fillRect/>
                    </a:stretch>
                  </pic:blipFill>
                  <pic:spPr>
                    <a:xfrm>
                      <a:off x="0" y="0"/>
                      <a:ext cx="4672746" cy="1799484"/>
                    </a:xfrm>
                    <a:prstGeom prst="rect">
                      <a:avLst/>
                    </a:prstGeom>
                  </pic:spPr>
                </pic:pic>
              </a:graphicData>
            </a:graphic>
          </wp:inline>
        </w:drawing>
      </w:r>
    </w:p>
    <w:p w14:paraId="41627EBD" w14:textId="002FEA3D" w:rsidR="009D4B82" w:rsidRDefault="009D4B82" w:rsidP="009D4B82">
      <w:pPr>
        <w:spacing w:after="120"/>
        <w:jc w:val="center"/>
        <w:rPr>
          <w:bCs/>
        </w:rPr>
      </w:pPr>
      <w:r>
        <w:rPr>
          <w:bCs/>
          <w:noProof/>
        </w:rPr>
        <mc:AlternateContent>
          <mc:Choice Requires="wpi">
            <w:drawing>
              <wp:anchor distT="0" distB="0" distL="114300" distR="114300" simplePos="0" relativeHeight="251658241" behindDoc="0" locked="0" layoutInCell="1" allowOverlap="1" wp14:anchorId="4939D4B1" wp14:editId="7C57766C">
                <wp:simplePos x="0" y="0"/>
                <wp:positionH relativeFrom="column">
                  <wp:posOffset>1845721</wp:posOffset>
                </wp:positionH>
                <wp:positionV relativeFrom="paragraph">
                  <wp:posOffset>614089</wp:posOffset>
                </wp:positionV>
                <wp:extent cx="2104200" cy="33120"/>
                <wp:effectExtent l="95250" t="152400" r="125095" b="157480"/>
                <wp:wrapNone/>
                <wp:docPr id="2080961168"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2104200" cy="33120"/>
                      </w14:xfrm>
                    </w14:contentPart>
                  </a:graphicData>
                </a:graphic>
              </wp:anchor>
            </w:drawing>
          </mc:Choice>
          <mc:Fallback>
            <w:pict>
              <v:shape w14:anchorId="27BA339E" id="Ink 2" o:spid="_x0000_s1026" type="#_x0000_t75" style="position:absolute;margin-left:141.1pt;margin-top:39.85pt;width:174.2pt;height:19.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">
                <v:imagedata r:id="rId16" o:title=""/>
              </v:shape>
            </w:pict>
          </mc:Fallback>
        </mc:AlternateContent>
      </w:r>
      <w:r w:rsidRPr="009D4B82">
        <w:rPr>
          <w:bCs/>
          <w:noProof/>
        </w:rPr>
        <w:drawing>
          <wp:inline distT="0" distB="0" distL="0" distR="0" wp14:anchorId="51182800" wp14:editId="1AC22D52">
            <wp:extent cx="2714454" cy="1057451"/>
            <wp:effectExtent l="0" t="0" r="0" b="0"/>
            <wp:docPr id="198160644"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0644" name="Picture 1" descr="A close-up of a card&#10;&#10;Description automatically generated"/>
                    <pic:cNvPicPr/>
                  </pic:nvPicPr>
                  <pic:blipFill>
                    <a:blip r:embed="rId17"/>
                    <a:stretch>
                      <a:fillRect/>
                    </a:stretch>
                  </pic:blipFill>
                  <pic:spPr>
                    <a:xfrm>
                      <a:off x="0" y="0"/>
                      <a:ext cx="2751343" cy="1071822"/>
                    </a:xfrm>
                    <a:prstGeom prst="rect">
                      <a:avLst/>
                    </a:prstGeom>
                  </pic:spPr>
                </pic:pic>
              </a:graphicData>
            </a:graphic>
          </wp:inline>
        </w:drawing>
      </w:r>
    </w:p>
    <w:p w14:paraId="7EE78F59" w14:textId="39341E97" w:rsidR="009D4B82" w:rsidRDefault="009D4B82" w:rsidP="009D4B82">
      <w:pPr>
        <w:spacing w:after="120"/>
        <w:jc w:val="center"/>
        <w:rPr>
          <w:bCs/>
        </w:rPr>
      </w:pPr>
      <w:r>
        <w:rPr>
          <w:bCs/>
        </w:rPr>
        <w:t>Figure 1: Snippets of materials available in [1]</w:t>
      </w:r>
    </w:p>
    <w:p w14:paraId="53112117" w14:textId="5D03B8D3" w:rsidR="000A4782" w:rsidRDefault="00527B65" w:rsidP="00445E27">
      <w:pPr>
        <w:spacing w:after="120"/>
        <w:rPr>
          <w:bCs/>
        </w:rPr>
      </w:pPr>
      <w:r>
        <w:rPr>
          <w:bCs/>
        </w:rPr>
        <w:lastRenderedPageBreak/>
        <w:t xml:space="preserve">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52309D71" w:rsidR="00AB0E6C" w:rsidRDefault="00AB0E6C" w:rsidP="00445E27">
      <w:pPr>
        <w:spacing w:after="120"/>
        <w:rPr>
          <w:b/>
        </w:rPr>
      </w:pPr>
      <w:r w:rsidRPr="005F4546">
        <w:rPr>
          <w:b/>
        </w:rPr>
        <w:t>Observation</w:t>
      </w:r>
      <w:r w:rsidR="005F4546" w:rsidRPr="005F4546">
        <w:rPr>
          <w:b/>
        </w:rPr>
        <w:t xml:space="preserve"> </w:t>
      </w:r>
      <w:r w:rsidR="00337521">
        <w:rPr>
          <w:b/>
        </w:rPr>
        <w:t>1</w:t>
      </w:r>
      <w:r w:rsidR="005F4546" w:rsidRPr="005F4546">
        <w:rPr>
          <w:b/>
        </w:rPr>
        <w:t>:</w:t>
      </w:r>
      <w:r w:rsidR="005F4546">
        <w:rPr>
          <w:b/>
        </w:rPr>
        <w:t xml:space="preserve"> Handheld battery powered satellite phones with much higher conducted output power than PC1 are available today</w:t>
      </w:r>
      <w:r w:rsidR="00F06022">
        <w:rPr>
          <w:b/>
        </w:rPr>
        <w:t>.</w:t>
      </w:r>
    </w:p>
    <w:p w14:paraId="23A5C2CD" w14:textId="4C0D36BB" w:rsidR="001C367F" w:rsidRDefault="001C367F" w:rsidP="00445E27">
      <w:pPr>
        <w:spacing w:after="120"/>
        <w:rPr>
          <w:bCs/>
        </w:rPr>
      </w:pPr>
      <w:r>
        <w:rPr>
          <w:bCs/>
        </w:rPr>
        <w:t xml:space="preserve">It should be also noted that PC1.5 is not available for IoT NTN. </w:t>
      </w:r>
      <w:proofErr w:type="gramStart"/>
      <w:r>
        <w:rPr>
          <w:bCs/>
        </w:rPr>
        <w:t>Therefore</w:t>
      </w:r>
      <w:proofErr w:type="gramEnd"/>
      <w:r>
        <w:rPr>
          <w:bCs/>
        </w:rPr>
        <w:t xml:space="preserve"> it is even more important that some higher power option than PC2 is specified. It is not </w:t>
      </w:r>
      <w:r w:rsidR="00B43234">
        <w:rPr>
          <w:bCs/>
        </w:rPr>
        <w:t xml:space="preserve">necessary to fully align with TN PC1 </w:t>
      </w:r>
      <w:proofErr w:type="gramStart"/>
      <w:r w:rsidR="00B43234">
        <w:rPr>
          <w:bCs/>
        </w:rPr>
        <w:t>requirements</w:t>
      </w:r>
      <w:proofErr w:type="gramEnd"/>
      <w:r w:rsidR="00B43234">
        <w:rPr>
          <w:bCs/>
        </w:rPr>
        <w:t xml:space="preserve"> but further accommodations can be made to help the feasibility. </w:t>
      </w:r>
      <w:r w:rsidR="003E772E">
        <w:rPr>
          <w:bCs/>
        </w:rPr>
        <w:t>Possible approaches can be e.g.</w:t>
      </w:r>
    </w:p>
    <w:p w14:paraId="4C57DB38" w14:textId="4C061C89" w:rsidR="003E772E" w:rsidRDefault="003E772E" w:rsidP="003E772E">
      <w:pPr>
        <w:pStyle w:val="ListParagraph"/>
        <w:numPr>
          <w:ilvl w:val="0"/>
          <w:numId w:val="42"/>
        </w:numPr>
        <w:spacing w:after="120"/>
        <w:rPr>
          <w:bCs/>
        </w:rPr>
      </w:pPr>
      <w:r>
        <w:rPr>
          <w:bCs/>
        </w:rPr>
        <w:t>Extending lower power tolerance for PC1 handheld devices</w:t>
      </w:r>
    </w:p>
    <w:p w14:paraId="055E461A" w14:textId="1F27BB92" w:rsidR="003E772E" w:rsidRDefault="003E772E" w:rsidP="003E772E">
      <w:pPr>
        <w:pStyle w:val="ListParagraph"/>
        <w:numPr>
          <w:ilvl w:val="0"/>
          <w:numId w:val="42"/>
        </w:numPr>
        <w:spacing w:after="120"/>
        <w:rPr>
          <w:bCs/>
        </w:rPr>
      </w:pPr>
      <w:r>
        <w:rPr>
          <w:bCs/>
        </w:rPr>
        <w:t>Considering MPR0 waveform only for narrow allocation in the middle of the band as NB-IoT single tone has lower PAR than multi-tone transmission</w:t>
      </w:r>
    </w:p>
    <w:p w14:paraId="7B23D901" w14:textId="4021E3F6" w:rsidR="001555A1" w:rsidRPr="003E772E" w:rsidRDefault="00F526F2" w:rsidP="003E772E">
      <w:pPr>
        <w:pStyle w:val="ListParagraph"/>
        <w:numPr>
          <w:ilvl w:val="0"/>
          <w:numId w:val="42"/>
        </w:numPr>
        <w:spacing w:after="120"/>
        <w:rPr>
          <w:bCs/>
        </w:rPr>
      </w:pPr>
      <w:r>
        <w:rPr>
          <w:bCs/>
        </w:rPr>
        <w:t>Considering lower nominal output power for IoT NTN PC1</w:t>
      </w:r>
    </w:p>
    <w:p w14:paraId="0BCD3830" w14:textId="125BC298" w:rsidR="001C367F" w:rsidRDefault="00F526F2" w:rsidP="00445E27">
      <w:pPr>
        <w:spacing w:after="120"/>
        <w:rPr>
          <w:b/>
        </w:rPr>
      </w:pPr>
      <w:r>
        <w:rPr>
          <w:b/>
        </w:rPr>
        <w:t>Observation 2: Final requirements can be defined in a manner which facilitate easier feasibility.</w:t>
      </w:r>
    </w:p>
    <w:p w14:paraId="7C083DFE" w14:textId="32B8A4EE" w:rsidR="0087766A" w:rsidRDefault="0087766A" w:rsidP="00445E27">
      <w:pPr>
        <w:spacing w:after="120"/>
        <w:rPr>
          <w:bCs/>
        </w:rPr>
      </w:pPr>
      <w:r>
        <w:rPr>
          <w:bCs/>
        </w:rPr>
        <w:t xml:space="preserve">Higher than PC2 power </w:t>
      </w:r>
      <w:r w:rsidR="005A14B5">
        <w:rPr>
          <w:bCs/>
        </w:rPr>
        <w:t xml:space="preserve">level would be extremely useful for IoT NTN, as it improves the link budget. This can </w:t>
      </w:r>
      <w:r w:rsidR="00DC6AA2">
        <w:rPr>
          <w:bCs/>
        </w:rPr>
        <w:t xml:space="preserve">make a huge difference in whether connection is possible only in perfect open-sky conditions, or whether connection is also possible </w:t>
      </w:r>
      <w:r w:rsidR="00BC17D2">
        <w:rPr>
          <w:bCs/>
        </w:rPr>
        <w:t>e.g. in forest where</w:t>
      </w:r>
      <w:r w:rsidR="00DC6AA2">
        <w:rPr>
          <w:bCs/>
        </w:rPr>
        <w:t xml:space="preserve"> trees caus</w:t>
      </w:r>
      <w:r w:rsidR="00BC17D2">
        <w:rPr>
          <w:bCs/>
        </w:rPr>
        <w:t>e</w:t>
      </w:r>
      <w:r w:rsidR="00DC6AA2">
        <w:rPr>
          <w:bCs/>
        </w:rPr>
        <w:t xml:space="preserve"> additional </w:t>
      </w:r>
      <w:r w:rsidR="00BC17D2">
        <w:rPr>
          <w:bCs/>
        </w:rPr>
        <w:t>path loss.</w:t>
      </w:r>
    </w:p>
    <w:p w14:paraId="2C29D881" w14:textId="56914363" w:rsidR="00BC17D2" w:rsidRDefault="00901F63" w:rsidP="00445E27">
      <w:pPr>
        <w:spacing w:after="120"/>
        <w:rPr>
          <w:b/>
        </w:rPr>
      </w:pPr>
      <w:r w:rsidRPr="00901F63">
        <w:rPr>
          <w:b/>
        </w:rPr>
        <w:t>Observation 3: Link budget improvements beyond PC2 are desirable.</w:t>
      </w:r>
    </w:p>
    <w:p w14:paraId="42F8472C" w14:textId="4DDD7ABE" w:rsidR="00901F63" w:rsidRPr="004E6C50" w:rsidRDefault="004E6C50" w:rsidP="00445E27">
      <w:pPr>
        <w:spacing w:after="120"/>
        <w:rPr>
          <w:bCs/>
        </w:rPr>
      </w:pPr>
      <w:r w:rsidRPr="004E6C50">
        <w:rPr>
          <w:bCs/>
        </w:rPr>
        <w:t xml:space="preserve">Finally, </w:t>
      </w:r>
      <w:r w:rsidR="00360BF6">
        <w:rPr>
          <w:bCs/>
        </w:rPr>
        <w:t>when it comes to component availability and performance, it is perfectly expected that not all components are available and supporting PC1 operation today – there has been no market for them as even standard does not allow PC1 operation in handheld UEs. Therefore, solving the chicken-egg problem can start by enabling the higher power in standards, after which component development is more likely to accelerate.</w:t>
      </w:r>
    </w:p>
    <w:p w14:paraId="2F6E500A" w14:textId="016A852F" w:rsidR="00901F63" w:rsidRPr="00901F63" w:rsidRDefault="00901F63" w:rsidP="00445E27">
      <w:pPr>
        <w:spacing w:after="120"/>
        <w:rPr>
          <w:b/>
        </w:rPr>
      </w:pPr>
      <w:r>
        <w:rPr>
          <w:b/>
        </w:rPr>
        <w:t xml:space="preserve">Observation 4: </w:t>
      </w:r>
      <w:r w:rsidR="004E6C50">
        <w:rPr>
          <w:b/>
        </w:rPr>
        <w:t>Component performance and availability is likely to improve after standards enable using said higher power. Therefore</w:t>
      </w:r>
      <w:r w:rsidR="00360BF6">
        <w:rPr>
          <w:b/>
        </w:rPr>
        <w:t>,</w:t>
      </w:r>
      <w:r w:rsidR="004E6C50">
        <w:rPr>
          <w:b/>
        </w:rPr>
        <w:t xml:space="preserve"> it is perfectly expected that all components are not commercially available today.</w:t>
      </w:r>
    </w:p>
    <w:p w14:paraId="1FBF0506" w14:textId="5F851BE8" w:rsidR="00EA57FA" w:rsidRDefault="00EA57FA" w:rsidP="00445E27">
      <w:pPr>
        <w:spacing w:after="120"/>
        <w:rPr>
          <w:b/>
        </w:rPr>
      </w:pPr>
      <w:r w:rsidRPr="00ED5A34">
        <w:rPr>
          <w:b/>
        </w:rPr>
        <w:t xml:space="preserve">Proposal </w:t>
      </w:r>
      <w:r w:rsidR="00337521">
        <w:rPr>
          <w:b/>
        </w:rPr>
        <w:t>1</w:t>
      </w:r>
      <w:r w:rsidRPr="00ED5A34">
        <w:rPr>
          <w:b/>
        </w:rPr>
        <w:t xml:space="preserve">: </w:t>
      </w:r>
      <w:r w:rsidR="00ED7C9F">
        <w:rPr>
          <w:b/>
        </w:rPr>
        <w:t>PC1, including s</w:t>
      </w:r>
      <w:r w:rsidR="00567C4C">
        <w:rPr>
          <w:b/>
        </w:rPr>
        <w:t>ingle Tx</w:t>
      </w:r>
      <w:r w:rsidR="00ED7C9F">
        <w:rPr>
          <w:b/>
        </w:rPr>
        <w:t xml:space="preserve"> PC1,</w:t>
      </w:r>
      <w:r w:rsidR="00567C4C">
        <w:rPr>
          <w:b/>
        </w:rPr>
        <w:t xml:space="preserve"> </w:t>
      </w:r>
      <w:r w:rsidR="00CB3CE3">
        <w:rPr>
          <w:b/>
        </w:rPr>
        <w:t xml:space="preserve">is considered </w:t>
      </w:r>
      <w:r w:rsidR="00567C4C">
        <w:rPr>
          <w:b/>
        </w:rPr>
        <w:t xml:space="preserve">feasible </w:t>
      </w:r>
      <w:r w:rsidR="009D1620">
        <w:rPr>
          <w:b/>
        </w:rPr>
        <w:t>for NB-IoT handheld devices</w:t>
      </w:r>
      <w:r w:rsidR="00567C4C">
        <w:rPr>
          <w:b/>
        </w:rPr>
        <w:t>.</w:t>
      </w:r>
    </w:p>
    <w:p w14:paraId="4928884D" w14:textId="3694D10F" w:rsidR="003425D9" w:rsidRDefault="00CB3CE3" w:rsidP="00445E27">
      <w:pPr>
        <w:spacing w:after="120"/>
        <w:rPr>
          <w:b/>
        </w:rPr>
      </w:pPr>
      <w:r>
        <w:rPr>
          <w:b/>
        </w:rPr>
        <w:t>Proposal 2: RF requirements are defined for PC1 handheld devices.</w:t>
      </w:r>
    </w:p>
    <w:p w14:paraId="65D2694B" w14:textId="77777777" w:rsidR="003425D9" w:rsidRDefault="003425D9" w:rsidP="00445E27">
      <w:pPr>
        <w:spacing w:after="120"/>
        <w:rPr>
          <w:b/>
        </w:rPr>
      </w:pPr>
    </w:p>
    <w:p w14:paraId="5B8CA0AB" w14:textId="77777777" w:rsidR="003425D9" w:rsidRDefault="003425D9" w:rsidP="003425D9">
      <w:pPr>
        <w:spacing w:after="120"/>
        <w:rPr>
          <w:b/>
          <w:sz w:val="28"/>
          <w:szCs w:val="28"/>
          <w:u w:val="single"/>
        </w:rPr>
      </w:pPr>
      <w:r>
        <w:rPr>
          <w:b/>
          <w:sz w:val="28"/>
          <w:szCs w:val="28"/>
          <w:u w:val="single"/>
        </w:rPr>
        <w:t>R</w:t>
      </w:r>
      <w:r w:rsidRPr="00441BB3">
        <w:rPr>
          <w:b/>
          <w:sz w:val="28"/>
          <w:szCs w:val="28"/>
          <w:u w:val="single"/>
        </w:rPr>
        <w:t>x Requirements</w:t>
      </w:r>
    </w:p>
    <w:p w14:paraId="3CFCA1C1" w14:textId="7F559048" w:rsidR="003425D9" w:rsidRDefault="003425D9" w:rsidP="003425D9">
      <w:pPr>
        <w:spacing w:after="120"/>
        <w:rPr>
          <w:bCs/>
        </w:rPr>
      </w:pPr>
      <w:r>
        <w:rPr>
          <w:bCs/>
        </w:rPr>
        <w:t xml:space="preserve">In previous meeting it was agreed to define RSD requirements similarly as in TN specifications. For </w:t>
      </w:r>
      <w:r w:rsidR="008B5D6F">
        <w:rPr>
          <w:bCs/>
        </w:rPr>
        <w:t xml:space="preserve">band </w:t>
      </w:r>
      <w:r>
        <w:rPr>
          <w:bCs/>
        </w:rPr>
        <w:t>256 [0] dB RSD was agreed, but further study was requested on duplexer isolation and PA interference.</w:t>
      </w:r>
    </w:p>
    <w:p w14:paraId="59065404" w14:textId="41C18684" w:rsidR="003425D9" w:rsidRDefault="003425D9" w:rsidP="003425D9">
      <w:pPr>
        <w:spacing w:after="120"/>
        <w:rPr>
          <w:bCs/>
        </w:rPr>
      </w:pPr>
      <w:r w:rsidRPr="00FE3D55">
        <w:rPr>
          <w:bCs/>
        </w:rPr>
        <w:t xml:space="preserve">In </w:t>
      </w:r>
      <w:r>
        <w:rPr>
          <w:bCs/>
        </w:rPr>
        <w:t>addition to filter isolation and Tx noise, it is necessary to consider also the Rx non-linearity in the RSD evaluation. Recently, 54 dBm IIP2 is often used in RSD evaluations for TN bands. An example is provided below, which fully ignores the Tx leakage and is therefore focused to show the impact of Rx non-linearity</w:t>
      </w:r>
      <w:r w:rsidR="00125AF0">
        <w:rPr>
          <w:bCs/>
        </w:rPr>
        <w:t>.</w:t>
      </w:r>
    </w:p>
    <w:p w14:paraId="62D20155" w14:textId="09E7DA0A" w:rsidR="003425D9" w:rsidRDefault="0087620A" w:rsidP="003425D9">
      <w:pPr>
        <w:spacing w:after="120"/>
        <w:rPr>
          <w:bCs/>
        </w:rPr>
      </w:pPr>
      <w:r w:rsidRPr="0087620A">
        <w:rPr>
          <w:bCs/>
          <w:noProof/>
        </w:rPr>
        <w:drawing>
          <wp:inline distT="0" distB="0" distL="0" distR="0" wp14:anchorId="1EA455FA" wp14:editId="29F3AAE8">
            <wp:extent cx="3089369" cy="1633282"/>
            <wp:effectExtent l="0" t="0" r="0" b="5080"/>
            <wp:docPr id="15707047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04799" name="Picture 1" descr="A screenshot of a computer&#10;&#10;Description automatically generated"/>
                    <pic:cNvPicPr/>
                  </pic:nvPicPr>
                  <pic:blipFill>
                    <a:blip r:embed="rId18"/>
                    <a:stretch>
                      <a:fillRect/>
                    </a:stretch>
                  </pic:blipFill>
                  <pic:spPr>
                    <a:xfrm>
                      <a:off x="0" y="0"/>
                      <a:ext cx="3092912" cy="1635155"/>
                    </a:xfrm>
                    <a:prstGeom prst="rect">
                      <a:avLst/>
                    </a:prstGeom>
                  </pic:spPr>
                </pic:pic>
              </a:graphicData>
            </a:graphic>
          </wp:inline>
        </w:drawing>
      </w:r>
    </w:p>
    <w:p w14:paraId="17EC1392" w14:textId="7EA2568B" w:rsidR="008C4BA6" w:rsidRPr="005564D3" w:rsidRDefault="008C4BA6" w:rsidP="003425D9">
      <w:pPr>
        <w:spacing w:after="120"/>
        <w:rPr>
          <w:bCs/>
        </w:rPr>
      </w:pPr>
      <w:proofErr w:type="gramStart"/>
      <w:r>
        <w:rPr>
          <w:bCs/>
        </w:rPr>
        <w:t>It can be seen that even</w:t>
      </w:r>
      <w:proofErr w:type="gramEnd"/>
      <w:r>
        <w:rPr>
          <w:bCs/>
        </w:rPr>
        <w:t xml:space="preserve"> with good Tx-Rx isolation of -55 dBm, second order intermodulation starts to be</w:t>
      </w:r>
      <w:r w:rsidR="00CC7BE2">
        <w:rPr>
          <w:bCs/>
        </w:rPr>
        <w:t xml:space="preserve"> close to the refsens level when output power is increased from 23 to 26 dB</w:t>
      </w:r>
      <w:r w:rsidR="00406AF7">
        <w:rPr>
          <w:bCs/>
        </w:rPr>
        <w:t xml:space="preserve">m. It can be also seen that when if the total bandwidth of the receiver is wider, and therefore the total noise power is larger, the IMD level causes less impact to the </w:t>
      </w:r>
      <w:r w:rsidR="00B87BAB">
        <w:rPr>
          <w:bCs/>
        </w:rPr>
        <w:t xml:space="preserve">sensitivity. Furthermore, eMTC is based on single receiver, so there is no diversity branch helping to reach </w:t>
      </w:r>
    </w:p>
    <w:p w14:paraId="2D89F897" w14:textId="1AF6BD3D" w:rsidR="003425D9" w:rsidRDefault="003425D9" w:rsidP="003425D9">
      <w:pPr>
        <w:spacing w:after="120"/>
        <w:rPr>
          <w:b/>
        </w:rPr>
      </w:pPr>
      <w:r w:rsidRPr="005564D3">
        <w:rPr>
          <w:b/>
        </w:rPr>
        <w:t xml:space="preserve">Observation </w:t>
      </w:r>
      <w:r w:rsidR="00CB3CE3">
        <w:rPr>
          <w:b/>
        </w:rPr>
        <w:t>5</w:t>
      </w:r>
      <w:r>
        <w:rPr>
          <w:b/>
        </w:rPr>
        <w:t>: Depending on duplexer isolations, Rx IIP2 can cause refsens degradation and it needs to be considered in the RSD evaluation.</w:t>
      </w:r>
    </w:p>
    <w:p w14:paraId="4B0AD68D" w14:textId="080281BC" w:rsidR="00125AF0" w:rsidRDefault="00125AF0" w:rsidP="003425D9">
      <w:pPr>
        <w:spacing w:after="120"/>
        <w:rPr>
          <w:b/>
        </w:rPr>
      </w:pPr>
      <w:r>
        <w:rPr>
          <w:b/>
        </w:rPr>
        <w:t xml:space="preserve">Observation </w:t>
      </w:r>
      <w:r w:rsidR="00CB3CE3">
        <w:rPr>
          <w:b/>
        </w:rPr>
        <w:t>6</w:t>
      </w:r>
      <w:r>
        <w:rPr>
          <w:b/>
        </w:rPr>
        <w:t xml:space="preserve">: Reference sensitivity level is more stringent for </w:t>
      </w:r>
      <w:r w:rsidR="00080FD0">
        <w:rPr>
          <w:b/>
        </w:rPr>
        <w:t>eMTC than for NR, i.e. the same level of intermodulation interference has larger impact.</w:t>
      </w:r>
    </w:p>
    <w:p w14:paraId="5157AEAC" w14:textId="6E573252" w:rsidR="005F17E8" w:rsidRDefault="005F17E8" w:rsidP="003425D9">
      <w:pPr>
        <w:spacing w:after="120"/>
        <w:rPr>
          <w:b/>
        </w:rPr>
      </w:pPr>
      <w:r>
        <w:rPr>
          <w:b/>
        </w:rPr>
        <w:t xml:space="preserve">Observation </w:t>
      </w:r>
      <w:r w:rsidR="00CB3CE3">
        <w:rPr>
          <w:b/>
        </w:rPr>
        <w:t>7</w:t>
      </w:r>
      <w:r>
        <w:rPr>
          <w:b/>
        </w:rPr>
        <w:t>: eMTC is based on single Rx, diversity receiver does not improve performance like for NR</w:t>
      </w:r>
    </w:p>
    <w:p w14:paraId="2112831D" w14:textId="77777777" w:rsidR="003425D9" w:rsidRDefault="003425D9" w:rsidP="003425D9">
      <w:pPr>
        <w:spacing w:after="120"/>
        <w:rPr>
          <w:b/>
        </w:rPr>
      </w:pPr>
      <w:r>
        <w:rPr>
          <w:b/>
        </w:rPr>
        <w:lastRenderedPageBreak/>
        <w:t>Proposal 3: In addition to Tx leakage to Rx, Rx non-linearity needs to be considered in RSD evaluation.</w:t>
      </w:r>
    </w:p>
    <w:p w14:paraId="652F6D2F" w14:textId="0223D045" w:rsidR="005F17E8" w:rsidRDefault="005F17E8" w:rsidP="003425D9">
      <w:pPr>
        <w:spacing w:after="120"/>
        <w:rPr>
          <w:b/>
        </w:rPr>
      </w:pPr>
      <w:r>
        <w:rPr>
          <w:b/>
        </w:rPr>
        <w:t>Proposal 4: Consider [1] dB RSD for n256 due to RX IIP2</w:t>
      </w:r>
      <w:r w:rsidR="00222C09">
        <w:rPr>
          <w:b/>
        </w:rPr>
        <w:t>.</w:t>
      </w:r>
    </w:p>
    <w:p w14:paraId="4727C3BA" w14:textId="77777777" w:rsidR="003425D9" w:rsidRDefault="003425D9" w:rsidP="00445E27">
      <w:pPr>
        <w:spacing w:after="120"/>
        <w:rPr>
          <w:b/>
        </w:rPr>
      </w:pP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6B01A88D" w14:textId="77777777" w:rsidR="00CB3CE3" w:rsidRDefault="00CB3CE3" w:rsidP="00CB3CE3">
      <w:pPr>
        <w:spacing w:after="120"/>
        <w:rPr>
          <w:b/>
        </w:rPr>
      </w:pPr>
      <w:r w:rsidRPr="005F4546">
        <w:rPr>
          <w:b/>
        </w:rPr>
        <w:t xml:space="preserve">Observation </w:t>
      </w:r>
      <w:r>
        <w:rPr>
          <w:b/>
        </w:rPr>
        <w:t>1</w:t>
      </w:r>
      <w:r w:rsidRPr="005F4546">
        <w:rPr>
          <w:b/>
        </w:rPr>
        <w:t>:</w:t>
      </w:r>
      <w:r>
        <w:rPr>
          <w:b/>
        </w:rPr>
        <w:t xml:space="preserve"> Handheld battery powered satellite phones with much higher conducted output power than PC1 are available today.</w:t>
      </w:r>
    </w:p>
    <w:p w14:paraId="25E8986C" w14:textId="77777777" w:rsidR="00CB3CE3" w:rsidRDefault="00CB3CE3" w:rsidP="00CB3CE3">
      <w:pPr>
        <w:spacing w:after="120"/>
        <w:rPr>
          <w:b/>
        </w:rPr>
      </w:pPr>
      <w:r>
        <w:rPr>
          <w:b/>
        </w:rPr>
        <w:t>Observation 2: Final requirements can be defined in a manner which facilitate easier feasibility.</w:t>
      </w:r>
    </w:p>
    <w:p w14:paraId="2761CC3B" w14:textId="77777777" w:rsidR="00CB3CE3" w:rsidRDefault="00CB3CE3" w:rsidP="00CB3CE3">
      <w:pPr>
        <w:spacing w:after="120"/>
        <w:rPr>
          <w:b/>
        </w:rPr>
      </w:pPr>
      <w:r w:rsidRPr="00901F63">
        <w:rPr>
          <w:b/>
        </w:rPr>
        <w:t>Observation 3: Link budget improvements beyond PC2 are desirable.</w:t>
      </w:r>
    </w:p>
    <w:p w14:paraId="7CCF11AB" w14:textId="77777777" w:rsidR="00CB3CE3" w:rsidRPr="00901F63" w:rsidRDefault="00CB3CE3" w:rsidP="00CB3CE3">
      <w:pPr>
        <w:spacing w:after="120"/>
        <w:rPr>
          <w:b/>
        </w:rPr>
      </w:pPr>
      <w:r>
        <w:rPr>
          <w:b/>
        </w:rPr>
        <w:t>Observation 4: Component performance and availability is likely to improve after standards enable using said higher power. Therefore, it is perfectly expected that all components are not commercially available today.</w:t>
      </w:r>
    </w:p>
    <w:p w14:paraId="2EE5CAED" w14:textId="77777777" w:rsidR="00CB3CE3" w:rsidRDefault="00CB3CE3" w:rsidP="00CB3CE3">
      <w:pPr>
        <w:spacing w:after="120"/>
        <w:rPr>
          <w:b/>
        </w:rPr>
      </w:pPr>
      <w:r w:rsidRPr="00ED5A34">
        <w:rPr>
          <w:b/>
        </w:rPr>
        <w:t xml:space="preserve">Proposal </w:t>
      </w:r>
      <w:r>
        <w:rPr>
          <w:b/>
        </w:rPr>
        <w:t>1</w:t>
      </w:r>
      <w:r w:rsidRPr="00ED5A34">
        <w:rPr>
          <w:b/>
        </w:rPr>
        <w:t xml:space="preserve">: </w:t>
      </w:r>
      <w:r>
        <w:rPr>
          <w:b/>
        </w:rPr>
        <w:t>PC1, including single Tx PC1, is considered feasible for NB-IoT handheld devices.</w:t>
      </w:r>
    </w:p>
    <w:p w14:paraId="40A6BF0A" w14:textId="77777777" w:rsidR="00CB3CE3" w:rsidRDefault="00CB3CE3" w:rsidP="00CB3CE3">
      <w:pPr>
        <w:spacing w:after="120"/>
        <w:rPr>
          <w:b/>
        </w:rPr>
      </w:pPr>
      <w:r>
        <w:rPr>
          <w:b/>
        </w:rPr>
        <w:t>Proposal 2: RF requirements are defined for PC1 handheld devices.</w:t>
      </w:r>
    </w:p>
    <w:p w14:paraId="1ADCA97A" w14:textId="77777777" w:rsidR="00CB3CE3" w:rsidRDefault="00CB3CE3" w:rsidP="00CB3CE3">
      <w:pPr>
        <w:spacing w:after="120"/>
        <w:rPr>
          <w:b/>
        </w:rPr>
      </w:pPr>
      <w:r w:rsidRPr="005564D3">
        <w:rPr>
          <w:b/>
        </w:rPr>
        <w:t xml:space="preserve">Observation </w:t>
      </w:r>
      <w:r>
        <w:rPr>
          <w:b/>
        </w:rPr>
        <w:t>5: Depending on duplexer isolations, Rx IIP2 can cause refsens degradation and it needs to be considered in the RSD evaluation.</w:t>
      </w:r>
    </w:p>
    <w:p w14:paraId="1E5E5FE6" w14:textId="77777777" w:rsidR="00CB3CE3" w:rsidRDefault="00CB3CE3" w:rsidP="00CB3CE3">
      <w:pPr>
        <w:spacing w:after="120"/>
        <w:rPr>
          <w:b/>
        </w:rPr>
      </w:pPr>
      <w:r>
        <w:rPr>
          <w:b/>
        </w:rPr>
        <w:t>Observation 6: Reference sensitivity level is more stringent for eMTC than for NR, i.e. the same level of intermodulation interference has larger impact.</w:t>
      </w:r>
    </w:p>
    <w:p w14:paraId="2591C556" w14:textId="77777777" w:rsidR="00CB3CE3" w:rsidRDefault="00CB3CE3" w:rsidP="00CB3CE3">
      <w:pPr>
        <w:spacing w:after="120"/>
        <w:rPr>
          <w:b/>
        </w:rPr>
      </w:pPr>
      <w:r>
        <w:rPr>
          <w:b/>
        </w:rPr>
        <w:t>Observation 7: eMTC is based on single Rx, diversity receiver does not improve performance like for NR</w:t>
      </w:r>
    </w:p>
    <w:p w14:paraId="644C325B" w14:textId="77777777" w:rsidR="00CB3CE3" w:rsidRDefault="00CB3CE3" w:rsidP="00CB3CE3">
      <w:pPr>
        <w:spacing w:after="120"/>
        <w:rPr>
          <w:b/>
        </w:rPr>
      </w:pPr>
      <w:r>
        <w:rPr>
          <w:b/>
        </w:rPr>
        <w:t>Proposal 3: In addition to Tx leakage to Rx, Rx non-linearity needs to be considered in RSD evaluation.</w:t>
      </w:r>
    </w:p>
    <w:p w14:paraId="550734D1" w14:textId="2556C509" w:rsidR="00ED5A34" w:rsidRDefault="00CB3CE3" w:rsidP="00ED5A34">
      <w:pPr>
        <w:spacing w:after="120"/>
        <w:rPr>
          <w:b/>
        </w:rPr>
      </w:pPr>
      <w:r>
        <w:rPr>
          <w:b/>
        </w:rPr>
        <w:t>Proposal 4: Consider [1] dB RSD for n256 due to RX IIP2.</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364B39A0"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proofErr w:type="gramStart"/>
      <w:r>
        <w:rPr>
          <w:rFonts w:ascii="Times New Roman" w:eastAsia="MS Mincho" w:hAnsi="Times New Roman"/>
          <w:lang w:val="en-US" w:eastAsia="de-DE"/>
        </w:rPr>
        <w:t>]  Irid</w:t>
      </w:r>
      <w:r w:rsidR="009C6048">
        <w:rPr>
          <w:rFonts w:ascii="Times New Roman" w:eastAsia="MS Mincho" w:hAnsi="Times New Roman"/>
          <w:lang w:val="en-US" w:eastAsia="de-DE"/>
        </w:rPr>
        <w:t>i</w:t>
      </w:r>
      <w:r>
        <w:rPr>
          <w:rFonts w:ascii="Times New Roman" w:eastAsia="MS Mincho" w:hAnsi="Times New Roman"/>
          <w:lang w:val="en-US" w:eastAsia="de-DE"/>
        </w:rPr>
        <w:t>um</w:t>
      </w:r>
      <w:proofErr w:type="gramEnd"/>
      <w:r>
        <w:rPr>
          <w:rFonts w:ascii="Times New Roman" w:eastAsia="MS Mincho" w:hAnsi="Times New Roman"/>
          <w:lang w:val="en-US" w:eastAsia="de-DE"/>
        </w:rPr>
        <w:t xml:space="preserve"> </w:t>
      </w:r>
      <w:r w:rsidR="00642D0E">
        <w:rPr>
          <w:rFonts w:ascii="Times New Roman" w:eastAsia="MS Mincho" w:hAnsi="Times New Roman"/>
          <w:lang w:val="en-US" w:eastAsia="de-DE"/>
        </w:rPr>
        <w:t xml:space="preserve">9555, </w:t>
      </w:r>
      <w:r w:rsidR="00642D0E" w:rsidRPr="00642D0E">
        <w:rPr>
          <w:rFonts w:ascii="Times New Roman" w:eastAsia="MS Mincho" w:hAnsi="Times New Roman"/>
          <w:lang w:val="en-US" w:eastAsia="de-DE"/>
        </w:rPr>
        <w:t>https://www.iridium.com/products/iridium-9555/</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A18D6" w14:textId="77777777" w:rsidR="00572544" w:rsidRDefault="00572544">
      <w:r>
        <w:separator/>
      </w:r>
    </w:p>
  </w:endnote>
  <w:endnote w:type="continuationSeparator" w:id="0">
    <w:p w14:paraId="75DD335B" w14:textId="77777777" w:rsidR="00572544" w:rsidRDefault="00572544">
      <w:r>
        <w:continuationSeparator/>
      </w:r>
    </w:p>
  </w:endnote>
  <w:endnote w:type="continuationNotice" w:id="1">
    <w:p w14:paraId="4F21B476" w14:textId="77777777" w:rsidR="00572544" w:rsidRDefault="0057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841D5" w14:textId="77777777" w:rsidR="00572544" w:rsidRDefault="00572544">
      <w:r>
        <w:separator/>
      </w:r>
    </w:p>
  </w:footnote>
  <w:footnote w:type="continuationSeparator" w:id="0">
    <w:p w14:paraId="79E88DBE" w14:textId="77777777" w:rsidR="00572544" w:rsidRDefault="00572544">
      <w:r>
        <w:continuationSeparator/>
      </w:r>
    </w:p>
  </w:footnote>
  <w:footnote w:type="continuationNotice" w:id="1">
    <w:p w14:paraId="390BEC94" w14:textId="77777777" w:rsidR="00572544" w:rsidRDefault="00572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22.22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851 2,'-32'1,"0"2,-53 12,54-8,-1-2,-54 3,50-7,0 1,-38 8,59-9,0 0,-1-1,1-1,0 0,0-1,0-1,-27-8,21 6,1 0,-1 1,-28-1,-83-13,116 18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9.53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833 0,'-59'3,"1"3,0 3,0 1,-75 26,118-32,-17 2,1-2,-1-1,0-2,0-1,0-1,-40-7,18 2,17 2,-45-10,66 10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1:05.193"/>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1169 2,'-125'-2,"-133"5,32 23,109-10,-124 0,142-7,71-5,-46 1,322-15,3 0,-77 1,3-1,81 10,-240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1.99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77,'1053'15,"-83"-25,-862 7,-18 1,289-19,53-17,-314 30,85-2,668 11,-784 3,118 21,62 3,-159-26,183 11,87-6,-215-10,-62 3,-81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1010</Words>
  <Characters>5761</Characters>
  <Application>Microsoft Office Word</Application>
  <DocSecurity>0</DocSecurity>
  <Lines>48</Lines>
  <Paragraphs>13</Paragraphs>
  <ScaleCrop>false</ScaleCrop>
  <Company>NEC Group</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36</cp:revision>
  <cp:lastPrinted>2012-09-28T09:55:00Z</cp:lastPrinted>
  <dcterms:created xsi:type="dcterms:W3CDTF">2024-11-08T13:53:00Z</dcterms:created>
  <dcterms:modified xsi:type="dcterms:W3CDTF">2024-11-08T17:53:00Z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